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FFFFFF"/>
        <w:spacing w:before="0" w:beforeAutospacing="0" w:after="0" w:afterAutospacing="0" w:line="600" w:lineRule="exact"/>
        <w:ind w:firstLine="640" w:firstLineChars="200"/>
        <w:jc w:val="center"/>
        <w:textAlignment w:val="top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招聘岗位说明书</w:t>
      </w:r>
    </w:p>
    <w:tbl>
      <w:tblPr>
        <w:tblStyle w:val="7"/>
        <w:tblW w:w="4996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488"/>
        <w:gridCol w:w="590"/>
        <w:gridCol w:w="1006"/>
        <w:gridCol w:w="102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79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宋体" w:hAnsi="华文宋体" w:eastAsia="华文宋体" w:cs="华文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25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宋体" w:hAnsi="华文宋体" w:eastAsia="华文宋体" w:cs="华文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部门</w:t>
            </w:r>
          </w:p>
        </w:tc>
        <w:tc>
          <w:tcPr>
            <w:tcW w:w="20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宋体" w:hAnsi="华文宋体" w:eastAsia="华文宋体" w:cs="华文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355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宋体" w:hAnsi="华文宋体" w:eastAsia="华文宋体" w:cs="华文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岗位说明</w:t>
            </w:r>
          </w:p>
        </w:tc>
        <w:tc>
          <w:tcPr>
            <w:tcW w:w="3631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宋体" w:hAnsi="华文宋体" w:eastAsia="华文宋体" w:cs="华文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专业和相关要求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79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bidi="ar"/>
              </w:rPr>
              <w:t>综合办公室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bidi="ar"/>
              </w:rPr>
              <w:t>员工</w:t>
            </w:r>
          </w:p>
        </w:tc>
        <w:tc>
          <w:tcPr>
            <w:tcW w:w="3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文秘方向，中文、新闻等相关专业。具有较强的文字写作和综合协调能力。具有综合文字写作工作经历、熟悉现代企业法人治理相关业务，实绩突出者优先。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279" w:type="pct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2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bidi="ar"/>
              </w:rPr>
              <w:t>党群工作部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bidi="ar"/>
              </w:rPr>
              <w:t>主管</w:t>
            </w:r>
          </w:p>
        </w:tc>
        <w:tc>
          <w:tcPr>
            <w:tcW w:w="3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党建方向，中共党员。政治、哲学、中文等相关专业。（1）熟悉党的各项方针政策，了解党建、群团工作的相关政策、法规；（2）较强的写作能力及文字表达能力，具有相关岗位工作经验；（3）有党建、群团、统战、思想政治、宣传教育、组织策划大型文体活动等方面的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9" w:type="pct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</w:p>
        </w:tc>
        <w:tc>
          <w:tcPr>
            <w:tcW w:w="52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bidi="ar"/>
              </w:rPr>
              <w:t>员工</w:t>
            </w:r>
          </w:p>
        </w:tc>
        <w:tc>
          <w:tcPr>
            <w:tcW w:w="3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党建方向，中共党员。政治、哲学、中文等相关专业。（1）熟悉党的各项方针政策，了解党建、群团工作的相关政策、法规；（2）较强的写作能力及文字表达能力；（3）具有党建、群团、统战、宣传教育等方面的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79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bidi="ar"/>
              </w:rPr>
              <w:t>人力资源部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bidi="ar"/>
              </w:rPr>
              <w:t>主管</w:t>
            </w:r>
          </w:p>
        </w:tc>
        <w:tc>
          <w:tcPr>
            <w:tcW w:w="3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人力资源、行政管理、工商管理、软件等相关专业。（1）熟悉干部人事管理、劳动用工方面相关法律法规，具备丰富的人力资源管理知识和经验，具有相关岗位工作经验；（2）具有大型企业总部人力资源岗位工作经历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79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</w:p>
        </w:tc>
        <w:tc>
          <w:tcPr>
            <w:tcW w:w="5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bidi="ar"/>
              </w:rPr>
              <w:t>员工</w:t>
            </w:r>
          </w:p>
        </w:tc>
        <w:tc>
          <w:tcPr>
            <w:tcW w:w="3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人力资源、行政管理、工商管理、软件等相关专业。熟悉干部人事管理、劳动用工方面相关法律法规。具有省管国有企业总部人事部门经历者优先。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279" w:type="pct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2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bidi="ar"/>
              </w:rPr>
              <w:t>计划财务部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bidi="ar"/>
              </w:rPr>
              <w:t>主管</w:t>
            </w:r>
          </w:p>
        </w:tc>
        <w:tc>
          <w:tcPr>
            <w:tcW w:w="3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财会、审计、金融等相关专业。（1）熟悉国家财税政策、法规和会计准则等知识。具有较强的风险管理、成本控制和财务分析能力。能熟练掌握财务应用软件和办公软件；（2）具有财务中级以上职称或职业资格和相关岗位工作经验。（3）注册会计师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79" w:type="pct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</w:p>
        </w:tc>
        <w:tc>
          <w:tcPr>
            <w:tcW w:w="52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bidi="ar"/>
              </w:rPr>
              <w:t>员工</w:t>
            </w:r>
          </w:p>
        </w:tc>
        <w:tc>
          <w:tcPr>
            <w:tcW w:w="3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财会、审计、金融等相关专业。（1）具有全面的财务专业知识，了解会计准则以及相关的财务、税务等法律法规，能够熟练使用计算机和财务软件；（2）具有财务初级以上职称或职业资格。（3）注册会计师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279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bidi="ar"/>
              </w:rPr>
              <w:t>战略投资部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bidi="ar"/>
              </w:rPr>
              <w:t>主管</w:t>
            </w:r>
          </w:p>
        </w:tc>
        <w:tc>
          <w:tcPr>
            <w:tcW w:w="3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专业要求：投融资、经济、金融、财会等相关专业。（1）熟悉投融资业务相关法律法规，有较强的投资业务分析、处理能力。（2）具有重大项目投融资、股权投资、收并购相关岗位工作经验；（3）具有证券或基金从业资格证、注册会计师以及特许金融分析师证书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279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</w:p>
        </w:tc>
        <w:tc>
          <w:tcPr>
            <w:tcW w:w="5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bidi="ar"/>
              </w:rPr>
              <w:t>员工</w:t>
            </w:r>
          </w:p>
        </w:tc>
        <w:tc>
          <w:tcPr>
            <w:tcW w:w="3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经济、金融、财会等相关专业。（1）熟悉投资业务相关法律法规，有较强的投资业务分析、处理能力。（2）具有重大项目投融资、收并购经验者优先；（3）具有证券或基金从业资格证、注册会计师以及特许金融分析师证书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bidi="ar"/>
              </w:rPr>
              <w:t>企业运营部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bidi="ar"/>
              </w:rPr>
              <w:t>员工</w:t>
            </w:r>
          </w:p>
        </w:tc>
        <w:tc>
          <w:tcPr>
            <w:tcW w:w="363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企业管理、财务管理、金融、审计、会计、文旅、工商管理、建筑工程等相关专业。（1）具有资产管理、财务分析、风险控制、资本运作等相关专业知识，熟悉国有资产管理、企业管理、财政金融等政策、法律法规；（2）主导或参与过并购重组、产权交易、工程项目监督管理或基于下属企业的集团化管控等相关工作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79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5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bidi="ar"/>
              </w:rPr>
              <w:t>法审风控部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bidi="ar"/>
              </w:rPr>
              <w:t>主管</w:t>
            </w:r>
          </w:p>
        </w:tc>
        <w:tc>
          <w:tcPr>
            <w:tcW w:w="363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法律、审计、财务相关专业，具备法律、财务专业背景的复合型人才。（1）具有法务、审计相关工作经验。（2）具备3年以上搭建、优化企业风险管理及内部控制体系、识别管控缺陷相关岗位工作经验，能有效提出改善建议。（3）具有注册会计师、国家审计师、法律职业资格证书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9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</w:p>
        </w:tc>
        <w:tc>
          <w:tcPr>
            <w:tcW w:w="5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bidi="ar"/>
              </w:rPr>
              <w:t>员工</w:t>
            </w:r>
          </w:p>
        </w:tc>
        <w:tc>
          <w:tcPr>
            <w:tcW w:w="3631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  <w:lang w:bidi="ar"/>
              </w:rPr>
              <w:t>法律、审计、财务相关专业毕业，具备法律、财务专业背景的复合型人才。（1）具有相关工作经历者或参与过审计工作者优先；（2）具有注册会计师、国家审计师、法律职业资格证书者优先。</w:t>
            </w:r>
          </w:p>
        </w:tc>
      </w:tr>
    </w:tbl>
    <w:p>
      <w:pPr>
        <w:pStyle w:val="9"/>
        <w:shd w:val="clear" w:color="auto" w:fill="FFFFFF"/>
        <w:spacing w:before="0" w:beforeAutospacing="0" w:after="0" w:afterAutospacing="0" w:line="600" w:lineRule="atLeast"/>
        <w:ind w:firstLine="5120" w:firstLineChars="1600"/>
        <w:jc w:val="both"/>
        <w:textAlignment w:val="top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9"/>
        <w:shd w:val="clear" w:color="auto" w:fill="FFFFFF"/>
        <w:spacing w:before="0" w:beforeAutospacing="0" w:after="0" w:afterAutospacing="0" w:line="600" w:lineRule="atLeast"/>
        <w:ind w:firstLine="5120" w:firstLineChars="1600"/>
        <w:jc w:val="both"/>
        <w:textAlignment w:val="top"/>
        <w:rPr>
          <w:rFonts w:ascii="仿宋" w:hAnsi="仿宋" w:eastAsia="仿宋"/>
          <w:color w:val="00000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5MmNjYjU5MGE2MjFhNDI2MDkwYmQ3MzQzOGY4MmMifQ=="/>
  </w:docVars>
  <w:rsids>
    <w:rsidRoot w:val="00000000"/>
    <w:rsid w:val="69111730"/>
    <w:rsid w:val="6F3A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99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index 7"/>
    <w:basedOn w:val="1"/>
    <w:next w:val="1"/>
    <w:qFormat/>
    <w:uiPriority w:val="99"/>
    <w:pPr>
      <w:ind w:left="252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1983</Words>
  <Characters>1995</Characters>
  <Lines>0</Lines>
  <Paragraphs>0</Paragraphs>
  <TotalTime>0</TotalTime>
  <ScaleCrop>false</ScaleCrop>
  <LinksUpToDate>false</LinksUpToDate>
  <CharactersWithSpaces>1997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2022-08-23T08:52:00Z</dcterms:created>
  <dc:creator>Lenovo</dc:creator>
  <cp:lastModifiedBy>Lenovo</cp:lastModifiedBy>
  <cp:lastPrinted>2022-08-23T09:03:00Z</cp:lastPrinted>
  <dcterms:modified xsi:type="dcterms:W3CDTF">2022-10-09T07:15:57Z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401065B0010841908FA4F8B2EBA78866</vt:lpwstr>
  </property>
</Properties>
</file>